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E5A653" w14:textId="77777777" w:rsidR="003F7918" w:rsidRDefault="003F7918" w:rsidP="003F7918">
      <w:pPr>
        <w:spacing w:line="480" w:lineRule="auto"/>
        <w:jc w:val="center"/>
        <w:rPr>
          <w:rFonts w:ascii="Times New Roman" w:hAnsi="Times New Roman" w:cs="Times New Roman"/>
          <w:sz w:val="24"/>
          <w:szCs w:val="24"/>
        </w:rPr>
      </w:pPr>
    </w:p>
    <w:p w14:paraId="5F2A95E4" w14:textId="77777777" w:rsidR="003F7918" w:rsidRDefault="003F7918" w:rsidP="003F7918">
      <w:pPr>
        <w:spacing w:line="480" w:lineRule="auto"/>
        <w:jc w:val="center"/>
        <w:rPr>
          <w:rFonts w:ascii="Times New Roman" w:hAnsi="Times New Roman" w:cs="Times New Roman"/>
          <w:sz w:val="24"/>
          <w:szCs w:val="24"/>
        </w:rPr>
      </w:pPr>
    </w:p>
    <w:p w14:paraId="7FC54090" w14:textId="77777777" w:rsidR="003F7918" w:rsidRDefault="003F7918" w:rsidP="003F7918">
      <w:pPr>
        <w:spacing w:line="480" w:lineRule="auto"/>
        <w:jc w:val="center"/>
        <w:rPr>
          <w:rFonts w:ascii="Times New Roman" w:hAnsi="Times New Roman" w:cs="Times New Roman"/>
          <w:sz w:val="24"/>
          <w:szCs w:val="24"/>
        </w:rPr>
      </w:pPr>
    </w:p>
    <w:p w14:paraId="4D4AD45D" w14:textId="77777777" w:rsidR="003F7918" w:rsidRDefault="003F7918" w:rsidP="003F7918">
      <w:pPr>
        <w:spacing w:line="480" w:lineRule="auto"/>
        <w:jc w:val="center"/>
        <w:rPr>
          <w:rFonts w:ascii="Times New Roman" w:hAnsi="Times New Roman" w:cs="Times New Roman"/>
          <w:sz w:val="24"/>
          <w:szCs w:val="24"/>
        </w:rPr>
      </w:pPr>
    </w:p>
    <w:p w14:paraId="4AC1DDF5" w14:textId="77777777" w:rsidR="003F7918" w:rsidRDefault="003F7918" w:rsidP="003F7918">
      <w:pPr>
        <w:spacing w:line="480" w:lineRule="auto"/>
        <w:jc w:val="center"/>
        <w:rPr>
          <w:rFonts w:ascii="Times New Roman" w:hAnsi="Times New Roman" w:cs="Times New Roman"/>
          <w:sz w:val="24"/>
          <w:szCs w:val="24"/>
        </w:rPr>
      </w:pPr>
    </w:p>
    <w:p w14:paraId="0A6CE89B" w14:textId="77777777" w:rsidR="003F7918" w:rsidRDefault="003F7918" w:rsidP="003F7918">
      <w:pPr>
        <w:spacing w:line="480" w:lineRule="auto"/>
        <w:jc w:val="center"/>
        <w:rPr>
          <w:rFonts w:ascii="Times New Roman" w:hAnsi="Times New Roman" w:cs="Times New Roman"/>
          <w:sz w:val="24"/>
          <w:szCs w:val="24"/>
        </w:rPr>
      </w:pPr>
    </w:p>
    <w:p w14:paraId="0F244BAB" w14:textId="77777777" w:rsidR="003F7918" w:rsidRDefault="003F7918" w:rsidP="003F7918">
      <w:pPr>
        <w:spacing w:line="480" w:lineRule="auto"/>
        <w:jc w:val="center"/>
        <w:rPr>
          <w:rFonts w:ascii="Times New Roman" w:hAnsi="Times New Roman" w:cs="Times New Roman"/>
          <w:sz w:val="24"/>
          <w:szCs w:val="24"/>
        </w:rPr>
      </w:pPr>
    </w:p>
    <w:p w14:paraId="7E778BED" w14:textId="431A1248" w:rsidR="003F7918" w:rsidRPr="003F7918" w:rsidRDefault="00D471EF" w:rsidP="003F7918">
      <w:pPr>
        <w:spacing w:line="480" w:lineRule="auto"/>
        <w:jc w:val="center"/>
        <w:rPr>
          <w:rFonts w:ascii="Times New Roman" w:hAnsi="Times New Roman" w:cs="Times New Roman"/>
          <w:sz w:val="24"/>
          <w:szCs w:val="24"/>
        </w:rPr>
      </w:pPr>
      <w:r>
        <w:rPr>
          <w:rFonts w:ascii="Times New Roman" w:hAnsi="Times New Roman" w:cs="Times New Roman"/>
          <w:sz w:val="24"/>
          <w:szCs w:val="24"/>
        </w:rPr>
        <w:t>ACC 690 Milestone 1: Bankruptcy</w:t>
      </w:r>
    </w:p>
    <w:p w14:paraId="13EA16A9" w14:textId="5A3C2DB2" w:rsidR="003F7918" w:rsidRDefault="003F7918" w:rsidP="00F96B7E">
      <w:pPr>
        <w:spacing w:line="480" w:lineRule="auto"/>
        <w:rPr>
          <w:rFonts w:ascii="Times New Roman" w:hAnsi="Times New Roman" w:cs="Times New Roman"/>
          <w:sz w:val="24"/>
          <w:szCs w:val="24"/>
        </w:rPr>
      </w:pPr>
    </w:p>
    <w:p w14:paraId="51B1E1D3" w14:textId="30314587" w:rsidR="00D471EF" w:rsidRDefault="00D471EF" w:rsidP="00F96B7E">
      <w:pPr>
        <w:spacing w:line="480" w:lineRule="auto"/>
        <w:rPr>
          <w:rFonts w:ascii="Times New Roman" w:hAnsi="Times New Roman" w:cs="Times New Roman"/>
          <w:sz w:val="24"/>
          <w:szCs w:val="24"/>
        </w:rPr>
      </w:pPr>
    </w:p>
    <w:p w14:paraId="6D4518C4" w14:textId="0ED41769" w:rsidR="00D471EF" w:rsidRDefault="00D471EF" w:rsidP="00F96B7E">
      <w:pPr>
        <w:spacing w:line="480" w:lineRule="auto"/>
        <w:rPr>
          <w:rFonts w:ascii="Times New Roman" w:hAnsi="Times New Roman" w:cs="Times New Roman"/>
          <w:sz w:val="24"/>
          <w:szCs w:val="24"/>
        </w:rPr>
      </w:pPr>
    </w:p>
    <w:p w14:paraId="7992C286" w14:textId="0E3D9567" w:rsidR="00D471EF" w:rsidRDefault="00D471EF" w:rsidP="00F96B7E">
      <w:pPr>
        <w:spacing w:line="480" w:lineRule="auto"/>
        <w:rPr>
          <w:rFonts w:ascii="Times New Roman" w:hAnsi="Times New Roman" w:cs="Times New Roman"/>
          <w:sz w:val="24"/>
          <w:szCs w:val="24"/>
        </w:rPr>
      </w:pPr>
    </w:p>
    <w:p w14:paraId="6B995AAB" w14:textId="7538528C" w:rsidR="00D471EF" w:rsidRDefault="00D471EF" w:rsidP="00F96B7E">
      <w:pPr>
        <w:spacing w:line="480" w:lineRule="auto"/>
        <w:rPr>
          <w:rFonts w:ascii="Times New Roman" w:hAnsi="Times New Roman" w:cs="Times New Roman"/>
          <w:sz w:val="24"/>
          <w:szCs w:val="24"/>
        </w:rPr>
      </w:pPr>
    </w:p>
    <w:p w14:paraId="0CC3AB97" w14:textId="499A7488" w:rsidR="00D471EF" w:rsidRDefault="00D471EF" w:rsidP="00F96B7E">
      <w:pPr>
        <w:spacing w:line="480" w:lineRule="auto"/>
        <w:rPr>
          <w:rFonts w:ascii="Times New Roman" w:hAnsi="Times New Roman" w:cs="Times New Roman"/>
          <w:sz w:val="24"/>
          <w:szCs w:val="24"/>
        </w:rPr>
      </w:pPr>
    </w:p>
    <w:p w14:paraId="4575537B" w14:textId="41F55FEE" w:rsidR="00D471EF" w:rsidRDefault="00D471EF" w:rsidP="00D471EF">
      <w:pPr>
        <w:spacing w:line="480" w:lineRule="auto"/>
        <w:jc w:val="center"/>
        <w:rPr>
          <w:rFonts w:ascii="Times New Roman" w:hAnsi="Times New Roman" w:cs="Times New Roman"/>
          <w:sz w:val="24"/>
          <w:szCs w:val="24"/>
        </w:rPr>
      </w:pPr>
      <w:r>
        <w:rPr>
          <w:rFonts w:ascii="Times New Roman" w:hAnsi="Times New Roman" w:cs="Times New Roman"/>
          <w:sz w:val="24"/>
          <w:szCs w:val="24"/>
        </w:rPr>
        <w:t>Jeff Carlson</w:t>
      </w:r>
    </w:p>
    <w:p w14:paraId="7D6E0BB8" w14:textId="19F0356F" w:rsidR="00D471EF" w:rsidRDefault="00D471EF" w:rsidP="00D471EF">
      <w:pPr>
        <w:spacing w:line="480" w:lineRule="auto"/>
        <w:jc w:val="center"/>
        <w:rPr>
          <w:rFonts w:ascii="Times New Roman" w:hAnsi="Times New Roman" w:cs="Times New Roman"/>
          <w:b/>
          <w:sz w:val="24"/>
          <w:szCs w:val="24"/>
        </w:rPr>
      </w:pPr>
      <w:r>
        <w:rPr>
          <w:rFonts w:ascii="Times New Roman" w:hAnsi="Times New Roman" w:cs="Times New Roman"/>
          <w:sz w:val="24"/>
          <w:szCs w:val="24"/>
        </w:rPr>
        <w:t>December 20, 2020</w:t>
      </w:r>
    </w:p>
    <w:p w14:paraId="1674162E" w14:textId="77777777" w:rsidR="003F7918" w:rsidRDefault="003F7918" w:rsidP="00F96B7E">
      <w:pPr>
        <w:spacing w:line="480" w:lineRule="auto"/>
        <w:rPr>
          <w:rFonts w:ascii="Times New Roman" w:hAnsi="Times New Roman" w:cs="Times New Roman"/>
          <w:b/>
          <w:sz w:val="24"/>
          <w:szCs w:val="24"/>
        </w:rPr>
      </w:pPr>
    </w:p>
    <w:p w14:paraId="1F78580C" w14:textId="3F79B8D6" w:rsidR="00352931" w:rsidRPr="00D471EF" w:rsidRDefault="00CF2165" w:rsidP="00630EE0">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lastRenderedPageBreak/>
        <w:t>Bankruptcy</w:t>
      </w:r>
      <w:r w:rsidR="00D0228F" w:rsidRPr="00F96B7E">
        <w:rPr>
          <w:rFonts w:ascii="Times New Roman" w:hAnsi="Times New Roman" w:cs="Times New Roman"/>
          <w:sz w:val="24"/>
          <w:szCs w:val="24"/>
        </w:rPr>
        <w:t xml:space="preserve"> is a legal situation whereby firms are unable to </w:t>
      </w:r>
      <w:r w:rsidRPr="00F96B7E">
        <w:rPr>
          <w:rFonts w:ascii="Times New Roman" w:hAnsi="Times New Roman" w:cs="Times New Roman"/>
          <w:sz w:val="24"/>
          <w:szCs w:val="24"/>
        </w:rPr>
        <w:t>honor their financial obligations for instance they are unable to pay their outstanding debts. Bankruptcy is usually bad for any firm because once they owe their creditors then they end up losing credibility and can lose clients</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(Jackson, 2001)</w:t>
      </w:r>
      <w:r w:rsidRPr="00F96B7E">
        <w:rPr>
          <w:rFonts w:ascii="Times New Roman" w:hAnsi="Times New Roman" w:cs="Times New Roman"/>
          <w:sz w:val="24"/>
          <w:szCs w:val="24"/>
        </w:rPr>
        <w:t>.</w:t>
      </w:r>
      <w:r w:rsidR="000C7025" w:rsidRPr="00F96B7E">
        <w:rPr>
          <w:rFonts w:ascii="Times New Roman" w:hAnsi="Times New Roman" w:cs="Times New Roman"/>
          <w:sz w:val="24"/>
          <w:szCs w:val="24"/>
        </w:rPr>
        <w:t xml:space="preserve"> </w:t>
      </w:r>
      <w:r w:rsidR="00D471EF" w:rsidRPr="00F96B7E">
        <w:rPr>
          <w:rFonts w:ascii="Times New Roman" w:hAnsi="Times New Roman" w:cs="Times New Roman"/>
          <w:sz w:val="24"/>
          <w:szCs w:val="24"/>
        </w:rPr>
        <w:t>Therefore,</w:t>
      </w:r>
      <w:r w:rsidR="000C7025" w:rsidRPr="00F96B7E">
        <w:rPr>
          <w:rFonts w:ascii="Times New Roman" w:hAnsi="Times New Roman" w:cs="Times New Roman"/>
          <w:sz w:val="24"/>
          <w:szCs w:val="24"/>
        </w:rPr>
        <w:t xml:space="preserve"> the probability of a financial failure in a firm is crucial information to partners and should be communicated to different shareholders in the company or firm.</w:t>
      </w:r>
    </w:p>
    <w:p w14:paraId="66D67F40" w14:textId="77777777"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Bankruptcy</w:t>
      </w:r>
      <w:r w:rsidR="00352931" w:rsidRPr="00F96B7E">
        <w:rPr>
          <w:rFonts w:ascii="Times New Roman" w:hAnsi="Times New Roman" w:cs="Times New Roman"/>
          <w:sz w:val="24"/>
          <w:szCs w:val="24"/>
        </w:rPr>
        <w:t xml:space="preserve"> can either be voluntary or forced depending on the situation. </w:t>
      </w:r>
      <w:r w:rsidR="00A33883" w:rsidRPr="00F96B7E">
        <w:rPr>
          <w:rFonts w:ascii="Times New Roman" w:hAnsi="Times New Roman" w:cs="Times New Roman"/>
          <w:sz w:val="24"/>
          <w:szCs w:val="24"/>
        </w:rPr>
        <w:t xml:space="preserve">There are various ways used to predict bankruptcy for instance by using a financial statement ratio </w:t>
      </w:r>
      <w:r w:rsidR="007567E7" w:rsidRPr="00F96B7E">
        <w:rPr>
          <w:rFonts w:ascii="Times New Roman" w:hAnsi="Times New Roman" w:cs="Times New Roman"/>
          <w:sz w:val="24"/>
          <w:szCs w:val="24"/>
        </w:rPr>
        <w:t xml:space="preserve">whereby it seeks to identify underlying economic differences and financially distressed firms. Another predictor is using </w:t>
      </w:r>
      <w:r w:rsidR="007A74A7" w:rsidRPr="00F96B7E">
        <w:rPr>
          <w:rFonts w:ascii="Times New Roman" w:hAnsi="Times New Roman" w:cs="Times New Roman"/>
          <w:sz w:val="24"/>
          <w:szCs w:val="24"/>
        </w:rPr>
        <w:t>qualified auditor opinions</w:t>
      </w:r>
      <w:r w:rsidR="007567E7" w:rsidRPr="00F96B7E">
        <w:rPr>
          <w:rFonts w:ascii="Times New Roman" w:hAnsi="Times New Roman" w:cs="Times New Roman"/>
          <w:sz w:val="24"/>
          <w:szCs w:val="24"/>
        </w:rPr>
        <w:t xml:space="preserve"> whereby they serve as signals for impending bankruptcy.</w:t>
      </w:r>
      <w:r w:rsidR="00A33883" w:rsidRPr="00F96B7E">
        <w:rPr>
          <w:rFonts w:ascii="Times New Roman" w:hAnsi="Times New Roman" w:cs="Times New Roman"/>
          <w:sz w:val="24"/>
          <w:szCs w:val="24"/>
        </w:rPr>
        <w:t xml:space="preserve"> </w:t>
      </w:r>
      <w:r w:rsidR="00F57E96" w:rsidRPr="00F96B7E">
        <w:rPr>
          <w:rFonts w:ascii="Times New Roman" w:hAnsi="Times New Roman" w:cs="Times New Roman"/>
          <w:sz w:val="24"/>
          <w:szCs w:val="24"/>
        </w:rPr>
        <w:t xml:space="preserve">There are two types of bankruptcy; voluntary bankruptcy and forced bankruptcy. </w:t>
      </w:r>
      <w:r w:rsidR="00352931" w:rsidRPr="00F96B7E">
        <w:rPr>
          <w:rFonts w:ascii="Times New Roman" w:hAnsi="Times New Roman" w:cs="Times New Roman"/>
          <w:sz w:val="24"/>
          <w:szCs w:val="24"/>
        </w:rPr>
        <w:t xml:space="preserve">Voluntary </w:t>
      </w:r>
      <w:r w:rsidRPr="00F96B7E">
        <w:rPr>
          <w:rFonts w:ascii="Times New Roman" w:hAnsi="Times New Roman" w:cs="Times New Roman"/>
          <w:sz w:val="24"/>
          <w:szCs w:val="24"/>
        </w:rPr>
        <w:t>bankruptcy</w:t>
      </w:r>
      <w:r w:rsidR="00352931" w:rsidRPr="00F96B7E">
        <w:rPr>
          <w:rFonts w:ascii="Times New Roman" w:hAnsi="Times New Roman" w:cs="Times New Roman"/>
          <w:sz w:val="24"/>
          <w:szCs w:val="24"/>
        </w:rPr>
        <w:t xml:space="preserve"> is when the debtor files a </w:t>
      </w:r>
      <w:r w:rsidRPr="00F96B7E">
        <w:rPr>
          <w:rFonts w:ascii="Times New Roman" w:hAnsi="Times New Roman" w:cs="Times New Roman"/>
          <w:sz w:val="24"/>
          <w:szCs w:val="24"/>
        </w:rPr>
        <w:t>petition</w:t>
      </w:r>
      <w:r w:rsidR="00352931" w:rsidRPr="00F96B7E">
        <w:rPr>
          <w:rFonts w:ascii="Times New Roman" w:hAnsi="Times New Roman" w:cs="Times New Roman"/>
          <w:sz w:val="24"/>
          <w:szCs w:val="24"/>
        </w:rPr>
        <w:t xml:space="preserve"> to </w:t>
      </w:r>
      <w:r w:rsidRPr="00F96B7E">
        <w:rPr>
          <w:rFonts w:ascii="Times New Roman" w:hAnsi="Times New Roman" w:cs="Times New Roman"/>
          <w:sz w:val="24"/>
          <w:szCs w:val="24"/>
        </w:rPr>
        <w:t>consider their firm as being</w:t>
      </w:r>
      <w:r w:rsidR="00352931" w:rsidRPr="00F96B7E">
        <w:rPr>
          <w:rFonts w:ascii="Times New Roman" w:hAnsi="Times New Roman" w:cs="Times New Roman"/>
          <w:sz w:val="24"/>
          <w:szCs w:val="24"/>
        </w:rPr>
        <w:t xml:space="preserve"> bankrupt. </w:t>
      </w:r>
      <w:r w:rsidR="008573CF" w:rsidRPr="00F96B7E">
        <w:rPr>
          <w:rFonts w:ascii="Times New Roman" w:hAnsi="Times New Roman" w:cs="Times New Roman"/>
          <w:sz w:val="24"/>
          <w:szCs w:val="24"/>
        </w:rPr>
        <w:t xml:space="preserve">This is usually done when the </w:t>
      </w:r>
      <w:r w:rsidR="00B87B72" w:rsidRPr="00F96B7E">
        <w:rPr>
          <w:rFonts w:ascii="Times New Roman" w:hAnsi="Times New Roman" w:cs="Times New Roman"/>
          <w:sz w:val="24"/>
          <w:szCs w:val="24"/>
        </w:rPr>
        <w:t>firm has a lot of debts and feels</w:t>
      </w:r>
      <w:r w:rsidR="008573CF" w:rsidRPr="00F96B7E">
        <w:rPr>
          <w:rFonts w:ascii="Times New Roman" w:hAnsi="Times New Roman" w:cs="Times New Roman"/>
          <w:sz w:val="24"/>
          <w:szCs w:val="24"/>
        </w:rPr>
        <w:t xml:space="preserve"> that it cannot pay them on time</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(Warren, 1987)</w:t>
      </w:r>
      <w:r w:rsidR="008573CF" w:rsidRPr="00F96B7E">
        <w:rPr>
          <w:rFonts w:ascii="Times New Roman" w:hAnsi="Times New Roman" w:cs="Times New Roman"/>
          <w:sz w:val="24"/>
          <w:szCs w:val="24"/>
        </w:rPr>
        <w:t>.</w:t>
      </w:r>
      <w:r w:rsidR="003356BB" w:rsidRPr="00F96B7E">
        <w:rPr>
          <w:rFonts w:ascii="Times New Roman" w:hAnsi="Times New Roman" w:cs="Times New Roman"/>
          <w:sz w:val="24"/>
          <w:szCs w:val="24"/>
        </w:rPr>
        <w:t xml:space="preserve"> Voluntary bankruptcy is not ethical because firms use this to avoid paying their creditors on time.</w:t>
      </w:r>
      <w:r w:rsidR="008573CF" w:rsidRPr="00F96B7E">
        <w:rPr>
          <w:rFonts w:ascii="Times New Roman" w:hAnsi="Times New Roman" w:cs="Times New Roman"/>
          <w:sz w:val="24"/>
          <w:szCs w:val="24"/>
        </w:rPr>
        <w:t xml:space="preserve"> Forced bankruptcy on the other hand</w:t>
      </w:r>
      <w:r w:rsidR="007E1290" w:rsidRPr="00F96B7E">
        <w:rPr>
          <w:rFonts w:ascii="Times New Roman" w:hAnsi="Times New Roman" w:cs="Times New Roman"/>
          <w:sz w:val="24"/>
          <w:szCs w:val="24"/>
        </w:rPr>
        <w:t xml:space="preserve"> is usually filed by the creditor. Creditors may decide to file for bankruptcy when the firm fails to pay their debts when they are due. Some financial ratios used to predict bankruptcy include liquidity ratios. Liquidity ratios include cash to total assets ratio, current assets to current liabilities ratio, current assets to sales revenue ratio, and current </w:t>
      </w:r>
      <w:r>
        <w:rPr>
          <w:rFonts w:ascii="Times New Roman" w:hAnsi="Times New Roman" w:cs="Times New Roman"/>
          <w:sz w:val="24"/>
          <w:szCs w:val="24"/>
        </w:rPr>
        <w:t>assets to current assets ratio.</w:t>
      </w:r>
    </w:p>
    <w:p w14:paraId="4DDCB19C" w14:textId="77777777"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 xml:space="preserve">A firm should also inform its </w:t>
      </w:r>
      <w:r w:rsidR="00AF1895" w:rsidRPr="00F96B7E">
        <w:rPr>
          <w:rFonts w:ascii="Times New Roman" w:hAnsi="Times New Roman" w:cs="Times New Roman"/>
          <w:sz w:val="24"/>
          <w:szCs w:val="24"/>
        </w:rPr>
        <w:t>partners</w:t>
      </w:r>
      <w:r w:rsidRPr="00F96B7E">
        <w:rPr>
          <w:rFonts w:ascii="Times New Roman" w:hAnsi="Times New Roman" w:cs="Times New Roman"/>
          <w:sz w:val="24"/>
          <w:szCs w:val="24"/>
        </w:rPr>
        <w:t xml:space="preserve"> of its financial progress by using interim and segment reporting. An interim report usually covers less than a year and it provides partners with up to date information</w:t>
      </w:r>
      <w:r w:rsidR="00BF25B4">
        <w:rPr>
          <w:rFonts w:ascii="Times New Roman" w:hAnsi="Times New Roman" w:cs="Times New Roman"/>
          <w:sz w:val="24"/>
          <w:szCs w:val="24"/>
        </w:rPr>
        <w:t xml:space="preserve"> </w:t>
      </w:r>
      <w:r w:rsidR="00BF25B4" w:rsidRPr="00BF25B4">
        <w:rPr>
          <w:rFonts w:ascii="Times New Roman" w:hAnsi="Times New Roman" w:cs="Times New Roman"/>
          <w:sz w:val="24"/>
          <w:szCs w:val="24"/>
        </w:rPr>
        <w:t xml:space="preserve">(Bulow and </w:t>
      </w:r>
      <w:proofErr w:type="spellStart"/>
      <w:r w:rsidR="00BF25B4" w:rsidRPr="00BF25B4">
        <w:rPr>
          <w:rFonts w:ascii="Times New Roman" w:hAnsi="Times New Roman" w:cs="Times New Roman"/>
          <w:sz w:val="24"/>
          <w:szCs w:val="24"/>
        </w:rPr>
        <w:t>Shoven</w:t>
      </w:r>
      <w:proofErr w:type="spellEnd"/>
      <w:r w:rsidR="00BF25B4" w:rsidRPr="00BF25B4">
        <w:rPr>
          <w:rFonts w:ascii="Times New Roman" w:hAnsi="Times New Roman" w:cs="Times New Roman"/>
          <w:sz w:val="24"/>
          <w:szCs w:val="24"/>
        </w:rPr>
        <w:t>, 1978)</w:t>
      </w:r>
      <w:r w:rsidRPr="00F96B7E">
        <w:rPr>
          <w:rFonts w:ascii="Times New Roman" w:hAnsi="Times New Roman" w:cs="Times New Roman"/>
          <w:sz w:val="24"/>
          <w:szCs w:val="24"/>
        </w:rPr>
        <w:t xml:space="preserve">. Segment reporting encompasses reports from different </w:t>
      </w:r>
      <w:r w:rsidR="0092511C" w:rsidRPr="00F96B7E">
        <w:rPr>
          <w:rFonts w:ascii="Times New Roman" w:hAnsi="Times New Roman" w:cs="Times New Roman"/>
          <w:sz w:val="24"/>
          <w:szCs w:val="24"/>
        </w:rPr>
        <w:t xml:space="preserve">subsidiaries and divisions of the firm to provide a clear picture of the </w:t>
      </w:r>
      <w:r w:rsidR="0098748C" w:rsidRPr="00F96B7E">
        <w:rPr>
          <w:rFonts w:ascii="Times New Roman" w:hAnsi="Times New Roman" w:cs="Times New Roman"/>
          <w:sz w:val="24"/>
          <w:szCs w:val="24"/>
        </w:rPr>
        <w:t>firm’s</w:t>
      </w:r>
      <w:r w:rsidR="0092511C" w:rsidRPr="00F96B7E">
        <w:rPr>
          <w:rFonts w:ascii="Times New Roman" w:hAnsi="Times New Roman" w:cs="Times New Roman"/>
          <w:sz w:val="24"/>
          <w:szCs w:val="24"/>
        </w:rPr>
        <w:t xml:space="preserve"> </w:t>
      </w:r>
      <w:r w:rsidR="0092511C" w:rsidRPr="00F96B7E">
        <w:rPr>
          <w:rFonts w:ascii="Times New Roman" w:hAnsi="Times New Roman" w:cs="Times New Roman"/>
          <w:sz w:val="24"/>
          <w:szCs w:val="24"/>
        </w:rPr>
        <w:lastRenderedPageBreak/>
        <w:t>performance.</w:t>
      </w:r>
      <w:r w:rsidR="0098748C" w:rsidRPr="00F96B7E">
        <w:rPr>
          <w:rFonts w:ascii="Times New Roman" w:hAnsi="Times New Roman" w:cs="Times New Roman"/>
          <w:sz w:val="24"/>
          <w:szCs w:val="24"/>
        </w:rPr>
        <w:t xml:space="preserve"> These reports can include information such as revenue, the operating profit or loss; identify assets and income tax.</w:t>
      </w:r>
    </w:p>
    <w:p w14:paraId="26969513" w14:textId="77777777"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Accounting firms can also do foreign exchange transactions.  This usually involves the sale and purchase of foreign currencies and can be informed of spot transactions done within two days, the forward transaction is done within 90 days, and option transactions whereby an investor is not obligated to buy the currency</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 xml:space="preserve">(Bulow and </w:t>
      </w:r>
      <w:proofErr w:type="spellStart"/>
      <w:r w:rsidR="00BF25B4">
        <w:rPr>
          <w:rFonts w:ascii="Times New Roman" w:hAnsi="Times New Roman" w:cs="Times New Roman"/>
          <w:sz w:val="24"/>
          <w:szCs w:val="24"/>
        </w:rPr>
        <w:t>Shoven</w:t>
      </w:r>
      <w:proofErr w:type="spellEnd"/>
      <w:r w:rsidR="00BF25B4">
        <w:rPr>
          <w:rFonts w:ascii="Times New Roman" w:hAnsi="Times New Roman" w:cs="Times New Roman"/>
          <w:sz w:val="24"/>
          <w:szCs w:val="24"/>
        </w:rPr>
        <w:t>, 1978)</w:t>
      </w:r>
      <w:r w:rsidRPr="00F96B7E">
        <w:rPr>
          <w:rFonts w:ascii="Times New Roman" w:hAnsi="Times New Roman" w:cs="Times New Roman"/>
          <w:sz w:val="24"/>
          <w:szCs w:val="24"/>
        </w:rPr>
        <w:t>.</w:t>
      </w:r>
    </w:p>
    <w:p w14:paraId="659687F0" w14:textId="3F19639E" w:rsidR="003F7918" w:rsidRPr="00D471EF" w:rsidRDefault="00CF2165" w:rsidP="00D471EF">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Nonprofit accounting is used in business transactions done by nonprofit organizations.</w:t>
      </w:r>
      <w:r w:rsidR="00B94941" w:rsidRPr="00F96B7E">
        <w:rPr>
          <w:rFonts w:ascii="Times New Roman" w:hAnsi="Times New Roman" w:cs="Times New Roman"/>
          <w:sz w:val="24"/>
          <w:szCs w:val="24"/>
        </w:rPr>
        <w:t xml:space="preserve"> Nonprofit accountants offer their services to charity organizations and private foundations while governmental accounting involves the management of financial </w:t>
      </w:r>
      <w:r w:rsidR="007F5978" w:rsidRPr="00F96B7E">
        <w:rPr>
          <w:rFonts w:ascii="Times New Roman" w:hAnsi="Times New Roman" w:cs="Times New Roman"/>
          <w:sz w:val="24"/>
          <w:szCs w:val="24"/>
        </w:rPr>
        <w:t>transactions done</w:t>
      </w:r>
      <w:r w:rsidR="00B94941" w:rsidRPr="00F96B7E">
        <w:rPr>
          <w:rFonts w:ascii="Times New Roman" w:hAnsi="Times New Roman" w:cs="Times New Roman"/>
          <w:sz w:val="24"/>
          <w:szCs w:val="24"/>
        </w:rPr>
        <w:t xml:space="preserve"> by the government and they involve accounts on income and expenditure.</w:t>
      </w:r>
    </w:p>
    <w:p w14:paraId="5AE9EE02" w14:textId="77777777" w:rsidR="007F597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A firm should be able to do proper accounting to ensure that it keeps both its partners and shareholders informed about the financial decisions. This ensures accountability and transparency and will attract more investors into the firm.</w:t>
      </w:r>
      <w:r w:rsidR="00C45F16">
        <w:rPr>
          <w:rFonts w:ascii="Times New Roman" w:hAnsi="Times New Roman" w:cs="Times New Roman"/>
          <w:sz w:val="24"/>
          <w:szCs w:val="24"/>
        </w:rPr>
        <w:t xml:space="preserve"> Giving interim and segment reports ensure that partners can know about the assets that exist and work towards increasing them while alleviating the liabilities.</w:t>
      </w:r>
    </w:p>
    <w:p w14:paraId="5B5CAB2D" w14:textId="77777777" w:rsidR="003F7918" w:rsidRDefault="003F7918" w:rsidP="003F7918">
      <w:pPr>
        <w:spacing w:line="480" w:lineRule="auto"/>
        <w:ind w:firstLine="720"/>
        <w:rPr>
          <w:rFonts w:ascii="Times New Roman" w:hAnsi="Times New Roman" w:cs="Times New Roman"/>
          <w:sz w:val="24"/>
          <w:szCs w:val="24"/>
        </w:rPr>
      </w:pPr>
    </w:p>
    <w:p w14:paraId="1D648379" w14:textId="77777777" w:rsidR="00D471EF" w:rsidRDefault="00D471EF" w:rsidP="00BF25B4">
      <w:pPr>
        <w:spacing w:line="480" w:lineRule="auto"/>
        <w:jc w:val="center"/>
        <w:rPr>
          <w:rFonts w:ascii="Times New Roman" w:hAnsi="Times New Roman" w:cs="Times New Roman"/>
          <w:b/>
          <w:sz w:val="24"/>
          <w:szCs w:val="24"/>
        </w:rPr>
      </w:pPr>
    </w:p>
    <w:p w14:paraId="0F2EC8E3" w14:textId="77777777" w:rsidR="00D471EF" w:rsidRDefault="00D471EF" w:rsidP="00BF25B4">
      <w:pPr>
        <w:spacing w:line="480" w:lineRule="auto"/>
        <w:jc w:val="center"/>
        <w:rPr>
          <w:rFonts w:ascii="Times New Roman" w:hAnsi="Times New Roman" w:cs="Times New Roman"/>
          <w:b/>
          <w:sz w:val="24"/>
          <w:szCs w:val="24"/>
        </w:rPr>
      </w:pPr>
    </w:p>
    <w:p w14:paraId="0BF45A28" w14:textId="77777777" w:rsidR="00D471EF" w:rsidRDefault="00D471EF" w:rsidP="00BF25B4">
      <w:pPr>
        <w:spacing w:line="480" w:lineRule="auto"/>
        <w:jc w:val="center"/>
        <w:rPr>
          <w:rFonts w:ascii="Times New Roman" w:hAnsi="Times New Roman" w:cs="Times New Roman"/>
          <w:b/>
          <w:sz w:val="24"/>
          <w:szCs w:val="24"/>
        </w:rPr>
      </w:pPr>
    </w:p>
    <w:p w14:paraId="27036D3A" w14:textId="77777777" w:rsidR="00D471EF" w:rsidRDefault="00D471EF" w:rsidP="00BF25B4">
      <w:pPr>
        <w:spacing w:line="480" w:lineRule="auto"/>
        <w:jc w:val="center"/>
        <w:rPr>
          <w:rFonts w:ascii="Times New Roman" w:hAnsi="Times New Roman" w:cs="Times New Roman"/>
          <w:b/>
          <w:sz w:val="24"/>
          <w:szCs w:val="24"/>
        </w:rPr>
      </w:pPr>
    </w:p>
    <w:p w14:paraId="0D1FBF22" w14:textId="38336701" w:rsidR="003F7918" w:rsidRDefault="00CF2165" w:rsidP="00D471EF">
      <w:pPr>
        <w:spacing w:line="480" w:lineRule="auto"/>
        <w:rPr>
          <w:rFonts w:ascii="Times New Roman" w:hAnsi="Times New Roman" w:cs="Times New Roman"/>
          <w:b/>
          <w:sz w:val="24"/>
          <w:szCs w:val="24"/>
        </w:rPr>
      </w:pPr>
      <w:r w:rsidRPr="00BF25B4">
        <w:rPr>
          <w:rFonts w:ascii="Times New Roman" w:hAnsi="Times New Roman" w:cs="Times New Roman"/>
          <w:b/>
          <w:sz w:val="24"/>
          <w:szCs w:val="24"/>
        </w:rPr>
        <w:lastRenderedPageBreak/>
        <w:t>Refer</w:t>
      </w:r>
      <w:r w:rsidR="00BF25B4" w:rsidRPr="00BF25B4">
        <w:rPr>
          <w:rFonts w:ascii="Times New Roman" w:hAnsi="Times New Roman" w:cs="Times New Roman"/>
          <w:b/>
          <w:sz w:val="24"/>
          <w:szCs w:val="24"/>
        </w:rPr>
        <w:t>e</w:t>
      </w:r>
      <w:r w:rsidRPr="00BF25B4">
        <w:rPr>
          <w:rFonts w:ascii="Times New Roman" w:hAnsi="Times New Roman" w:cs="Times New Roman"/>
          <w:b/>
          <w:sz w:val="24"/>
          <w:szCs w:val="24"/>
        </w:rPr>
        <w:t>nces</w:t>
      </w:r>
    </w:p>
    <w:p w14:paraId="15F43067" w14:textId="77777777" w:rsid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 xml:space="preserve">Bulow, J. I., &amp; </w:t>
      </w:r>
      <w:proofErr w:type="spellStart"/>
      <w:r w:rsidRPr="00BF25B4">
        <w:rPr>
          <w:rFonts w:ascii="Times New Roman" w:hAnsi="Times New Roman" w:cs="Times New Roman"/>
          <w:sz w:val="24"/>
          <w:szCs w:val="24"/>
        </w:rPr>
        <w:t>Shoven</w:t>
      </w:r>
      <w:proofErr w:type="spellEnd"/>
      <w:r w:rsidRPr="00BF25B4">
        <w:rPr>
          <w:rFonts w:ascii="Times New Roman" w:hAnsi="Times New Roman" w:cs="Times New Roman"/>
          <w:sz w:val="24"/>
          <w:szCs w:val="24"/>
        </w:rPr>
        <w:t>, J. B. (1978). The bankruptcy decision. </w:t>
      </w:r>
      <w:r w:rsidRPr="00BF25B4">
        <w:rPr>
          <w:rFonts w:ascii="Times New Roman" w:hAnsi="Times New Roman" w:cs="Times New Roman"/>
          <w:i/>
          <w:iCs/>
          <w:sz w:val="24"/>
          <w:szCs w:val="24"/>
        </w:rPr>
        <w:t>The Bell Journal of Economics</w:t>
      </w:r>
      <w:r w:rsidRPr="00BF25B4">
        <w:rPr>
          <w:rFonts w:ascii="Times New Roman" w:hAnsi="Times New Roman" w:cs="Times New Roman"/>
          <w:sz w:val="24"/>
          <w:szCs w:val="24"/>
        </w:rPr>
        <w:t>, 437-456.</w:t>
      </w:r>
    </w:p>
    <w:p w14:paraId="53F1A9F9" w14:textId="77777777" w:rsidR="00BF25B4" w:rsidRP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Jackson, T. H. (2001). </w:t>
      </w:r>
      <w:r w:rsidRPr="00BF25B4">
        <w:rPr>
          <w:rFonts w:ascii="Times New Roman" w:hAnsi="Times New Roman" w:cs="Times New Roman"/>
          <w:i/>
          <w:iCs/>
          <w:sz w:val="24"/>
          <w:szCs w:val="24"/>
        </w:rPr>
        <w:t>The logic and limits of bankruptcy law</w:t>
      </w:r>
      <w:r w:rsidRPr="00BF25B4">
        <w:rPr>
          <w:rFonts w:ascii="Times New Roman" w:hAnsi="Times New Roman" w:cs="Times New Roman"/>
          <w:sz w:val="24"/>
          <w:szCs w:val="24"/>
        </w:rPr>
        <w:t>. Beard Books.</w:t>
      </w:r>
    </w:p>
    <w:p w14:paraId="79128507" w14:textId="77777777" w:rsid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Warren, E. (1987). Bankruptcy policy. </w:t>
      </w:r>
      <w:r w:rsidRPr="00BF25B4">
        <w:rPr>
          <w:rFonts w:ascii="Times New Roman" w:hAnsi="Times New Roman" w:cs="Times New Roman"/>
          <w:i/>
          <w:iCs/>
          <w:sz w:val="24"/>
          <w:szCs w:val="24"/>
        </w:rPr>
        <w:t>The University of Chicago Law Review</w:t>
      </w:r>
      <w:r w:rsidRPr="00BF25B4">
        <w:rPr>
          <w:rFonts w:ascii="Times New Roman" w:hAnsi="Times New Roman" w:cs="Times New Roman"/>
          <w:sz w:val="24"/>
          <w:szCs w:val="24"/>
        </w:rPr>
        <w:t>, </w:t>
      </w:r>
      <w:r w:rsidRPr="00BF25B4">
        <w:rPr>
          <w:rFonts w:ascii="Times New Roman" w:hAnsi="Times New Roman" w:cs="Times New Roman"/>
          <w:i/>
          <w:iCs/>
          <w:sz w:val="24"/>
          <w:szCs w:val="24"/>
        </w:rPr>
        <w:t>54</w:t>
      </w:r>
      <w:r w:rsidRPr="00BF25B4">
        <w:rPr>
          <w:rFonts w:ascii="Times New Roman" w:hAnsi="Times New Roman" w:cs="Times New Roman"/>
          <w:sz w:val="24"/>
          <w:szCs w:val="24"/>
        </w:rPr>
        <w:t>(3), 775-814.</w:t>
      </w:r>
    </w:p>
    <w:sectPr w:rsidR="00BF25B4" w:rsidSect="003F791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42C8D" w14:textId="77777777" w:rsidR="00555826" w:rsidRDefault="00555826">
      <w:pPr>
        <w:spacing w:after="0" w:line="240" w:lineRule="auto"/>
      </w:pPr>
      <w:r>
        <w:separator/>
      </w:r>
    </w:p>
  </w:endnote>
  <w:endnote w:type="continuationSeparator" w:id="0">
    <w:p w14:paraId="605CD049" w14:textId="77777777" w:rsidR="00555826" w:rsidRDefault="0055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8FBFC2" w14:textId="77777777" w:rsidR="00555826" w:rsidRDefault="00555826">
      <w:pPr>
        <w:spacing w:after="0" w:line="240" w:lineRule="auto"/>
      </w:pPr>
      <w:r>
        <w:separator/>
      </w:r>
    </w:p>
  </w:footnote>
  <w:footnote w:type="continuationSeparator" w:id="0">
    <w:p w14:paraId="23EB0036" w14:textId="77777777" w:rsidR="00555826" w:rsidRDefault="00555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93769"/>
      <w:docPartObj>
        <w:docPartGallery w:val="Page Numbers (Top of Page)"/>
        <w:docPartUnique/>
      </w:docPartObj>
    </w:sdtPr>
    <w:sdtEndPr>
      <w:rPr>
        <w:noProof/>
      </w:rPr>
    </w:sdtEndPr>
    <w:sdtContent>
      <w:p w14:paraId="299DC7F9" w14:textId="77777777" w:rsidR="003F7918" w:rsidRDefault="00CF2165">
        <w:pPr>
          <w:pStyle w:val="Header"/>
          <w:jc w:val="right"/>
        </w:pPr>
        <w:r>
          <w:rPr>
            <w:rFonts w:ascii="Times New Roman" w:hAnsi="Times New Roman" w:cs="Times New Roman"/>
            <w:sz w:val="24"/>
            <w:szCs w:val="24"/>
          </w:rPr>
          <w:t xml:space="preserve">REPORT                                                                                                                                          </w:t>
        </w:r>
        <w:r>
          <w:fldChar w:fldCharType="begin"/>
        </w:r>
        <w:r>
          <w:instrText xml:space="preserve"> PAGE   \* MERGEFORMAT </w:instrText>
        </w:r>
        <w:r>
          <w:fldChar w:fldCharType="separate"/>
        </w:r>
        <w:r w:rsidR="00C2246E">
          <w:rPr>
            <w:noProof/>
          </w:rPr>
          <w:t>3</w:t>
        </w:r>
        <w:r>
          <w:rPr>
            <w:noProof/>
          </w:rPr>
          <w:fldChar w:fldCharType="end"/>
        </w:r>
      </w:p>
    </w:sdtContent>
  </w:sdt>
  <w:p w14:paraId="250D7539" w14:textId="77777777" w:rsidR="003F7918" w:rsidRDefault="003F79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C57A7" w14:textId="77777777" w:rsidR="003F7918" w:rsidRPr="003F7918" w:rsidRDefault="00CF2165">
    <w:pPr>
      <w:pStyle w:val="Header"/>
      <w:rPr>
        <w:rFonts w:ascii="Times New Roman" w:hAnsi="Times New Roman" w:cs="Times New Roman"/>
        <w:sz w:val="24"/>
        <w:szCs w:val="24"/>
      </w:rPr>
    </w:pPr>
    <w:r>
      <w:rPr>
        <w:rFonts w:ascii="Times New Roman" w:hAnsi="Times New Roman" w:cs="Times New Roman"/>
        <w:sz w:val="24"/>
        <w:szCs w:val="24"/>
      </w:rPr>
      <w:t>Running Head: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28F"/>
    <w:rsid w:val="000C7025"/>
    <w:rsid w:val="001C4758"/>
    <w:rsid w:val="003356BB"/>
    <w:rsid w:val="00352931"/>
    <w:rsid w:val="003F7918"/>
    <w:rsid w:val="00555826"/>
    <w:rsid w:val="00601AEE"/>
    <w:rsid w:val="00630EE0"/>
    <w:rsid w:val="006665EE"/>
    <w:rsid w:val="007567E7"/>
    <w:rsid w:val="007A74A7"/>
    <w:rsid w:val="007E1290"/>
    <w:rsid w:val="007F5978"/>
    <w:rsid w:val="008573CF"/>
    <w:rsid w:val="00895E67"/>
    <w:rsid w:val="0092511C"/>
    <w:rsid w:val="0098748C"/>
    <w:rsid w:val="009A3425"/>
    <w:rsid w:val="00A33883"/>
    <w:rsid w:val="00AF1895"/>
    <w:rsid w:val="00B0632E"/>
    <w:rsid w:val="00B87B72"/>
    <w:rsid w:val="00B94941"/>
    <w:rsid w:val="00BE7690"/>
    <w:rsid w:val="00BF25B4"/>
    <w:rsid w:val="00C2246E"/>
    <w:rsid w:val="00C45F16"/>
    <w:rsid w:val="00C8641F"/>
    <w:rsid w:val="00CF2165"/>
    <w:rsid w:val="00D0228F"/>
    <w:rsid w:val="00D44DF0"/>
    <w:rsid w:val="00D471EF"/>
    <w:rsid w:val="00F57E96"/>
    <w:rsid w:val="00F96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E668"/>
  <w15:docId w15:val="{076CC94D-E3C7-884E-9C55-1B4B24FC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918"/>
  </w:style>
  <w:style w:type="paragraph" w:styleId="Footer">
    <w:name w:val="footer"/>
    <w:basedOn w:val="Normal"/>
    <w:link w:val="FooterChar"/>
    <w:uiPriority w:val="99"/>
    <w:unhideWhenUsed/>
    <w:rsid w:val="003F7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jbean Carlson</cp:lastModifiedBy>
  <cp:revision>3</cp:revision>
  <dcterms:created xsi:type="dcterms:W3CDTF">2020-12-21T06:56:00Z</dcterms:created>
  <dcterms:modified xsi:type="dcterms:W3CDTF">2020-12-21T06:57:00Z</dcterms:modified>
</cp:coreProperties>
</file>